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555" w:rsidRPr="00AC4A16" w:rsidRDefault="00A25E2D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F3712F" w:rsidRPr="007E3EE9" w:rsidRDefault="00F3712F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3712F" w:rsidRPr="007E3EE9" w:rsidRDefault="00F3712F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__.___.20____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proofErr w:type="spellStart"/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proofErr w:type="gramStart"/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proofErr w:type="spellStart"/>
      <w:r w:rsidR="00FC57D0" w:rsidRPr="00AC4A16">
        <w:rPr>
          <w:b/>
          <w:sz w:val="28"/>
          <w:szCs w:val="28"/>
        </w:rPr>
        <w:t>Система</w:t>
      </w:r>
      <w:r w:rsidR="00850922" w:rsidRPr="00AC4A16">
        <w:rPr>
          <w:b/>
          <w:sz w:val="28"/>
          <w:szCs w:val="28"/>
        </w:rPr>
        <w:t>образования</w:t>
      </w:r>
      <w:proofErr w:type="spellEnd"/>
      <w:r w:rsidR="00850922" w:rsidRPr="00AC4A16">
        <w:rPr>
          <w:b/>
          <w:sz w:val="28"/>
          <w:szCs w:val="28"/>
        </w:rPr>
        <w:t xml:space="preserve">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(далее</w:t>
            </w:r>
            <w:r w:rsidR="00FC57D0" w:rsidRPr="00AC4A16">
              <w:rPr>
                <w:sz w:val="28"/>
                <w:szCs w:val="28"/>
              </w:rPr>
              <w:t xml:space="preserve">– </w:t>
            </w:r>
            <w:proofErr w:type="gramStart"/>
            <w:r w:rsidR="00FC57D0" w:rsidRPr="00AC4A16">
              <w:rPr>
                <w:sz w:val="28"/>
                <w:szCs w:val="28"/>
              </w:rPr>
              <w:t>му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proofErr w:type="spellStart"/>
            <w:r w:rsidR="00CB04EE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>программы</w:t>
            </w:r>
            <w:proofErr w:type="spellEnd"/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</w:t>
            </w:r>
            <w:proofErr w:type="spellStart"/>
            <w:r w:rsidR="00850922" w:rsidRPr="00AC4A16">
              <w:rPr>
                <w:sz w:val="28"/>
                <w:szCs w:val="28"/>
              </w:rPr>
              <w:t>муниципальной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E708D7">
              <w:rPr>
                <w:sz w:val="28"/>
                <w:highlight w:val="green"/>
              </w:rPr>
              <w:t>5 843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E708D7">
              <w:rPr>
                <w:sz w:val="28"/>
                <w:highlight w:val="green"/>
              </w:rPr>
              <w:t>307</w:t>
            </w:r>
            <w:r w:rsidR="00723733">
              <w:rPr>
                <w:sz w:val="28"/>
                <w:highlight w:val="green"/>
              </w:rPr>
              <w:t>,</w:t>
            </w:r>
            <w:r w:rsidR="008A0B8E">
              <w:rPr>
                <w:sz w:val="28"/>
              </w:rPr>
              <w:t>0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E708D7">
              <w:rPr>
                <w:sz w:val="28"/>
                <w:szCs w:val="28"/>
                <w:highlight w:val="green"/>
              </w:rPr>
              <w:t>714</w:t>
            </w:r>
            <w:r w:rsidR="00736B8E">
              <w:rPr>
                <w:sz w:val="28"/>
                <w:szCs w:val="28"/>
                <w:highlight w:val="green"/>
              </w:rPr>
              <w:t xml:space="preserve"> </w:t>
            </w:r>
            <w:r w:rsidR="008A0B8E">
              <w:rPr>
                <w:sz w:val="28"/>
                <w:szCs w:val="28"/>
                <w:highlight w:val="green"/>
              </w:rPr>
              <w:t>695,7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411,2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4E77B0" w:rsidRPr="004E77B0">
              <w:rPr>
                <w:sz w:val="28"/>
                <w:highlight w:val="green"/>
              </w:rPr>
              <w:t>3</w:t>
            </w:r>
            <w:r w:rsidR="00736B8E">
              <w:rPr>
                <w:sz w:val="28"/>
                <w:highlight w:val="green"/>
              </w:rPr>
              <w:t> </w:t>
            </w:r>
            <w:r w:rsidR="00E83184">
              <w:rPr>
                <w:sz w:val="28"/>
                <w:highlight w:val="green"/>
              </w:rPr>
              <w:t>3</w:t>
            </w:r>
            <w:r w:rsidR="00E708D7">
              <w:rPr>
                <w:sz w:val="28"/>
                <w:highlight w:val="green"/>
              </w:rPr>
              <w:t>63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8A0B8E">
              <w:rPr>
                <w:sz w:val="28"/>
                <w:highlight w:val="green"/>
              </w:rPr>
              <w:t>344</w:t>
            </w:r>
            <w:r w:rsidR="00822225">
              <w:rPr>
                <w:sz w:val="28"/>
                <w:highlight w:val="green"/>
              </w:rPr>
              <w:t>,</w:t>
            </w:r>
            <w:r w:rsidR="008A0B8E">
              <w:rPr>
                <w:sz w:val="28"/>
              </w:rPr>
              <w:t>4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B70F73" w:rsidRPr="00E83184">
              <w:rPr>
                <w:sz w:val="28"/>
              </w:rPr>
              <w:t>402 </w:t>
            </w:r>
            <w:r w:rsidR="00FA6959" w:rsidRPr="00E83184">
              <w:rPr>
                <w:sz w:val="28"/>
              </w:rPr>
              <w:t>007,7</w:t>
            </w:r>
            <w:r w:rsidR="00D4046C" w:rsidRPr="00E83184">
              <w:rPr>
                <w:sz w:val="28"/>
              </w:rPr>
              <w:t>0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E708D7">
              <w:rPr>
                <w:sz w:val="28"/>
                <w:szCs w:val="28"/>
                <w:highlight w:val="green"/>
              </w:rPr>
              <w:t>426</w:t>
            </w:r>
            <w:r w:rsidR="00E83184">
              <w:rPr>
                <w:sz w:val="28"/>
                <w:szCs w:val="28"/>
                <w:highlight w:val="green"/>
              </w:rPr>
              <w:t xml:space="preserve"> </w:t>
            </w:r>
            <w:r w:rsidR="008A0B8E">
              <w:rPr>
                <w:sz w:val="28"/>
                <w:szCs w:val="28"/>
                <w:highlight w:val="green"/>
              </w:rPr>
              <w:t>486,4</w:t>
            </w:r>
            <w:r w:rsidR="004E77B0"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="00176A3C">
              <w:rPr>
                <w:sz w:val="28"/>
                <w:szCs w:val="28"/>
                <w:highlight w:val="green"/>
              </w:rPr>
              <w:t>4</w:t>
            </w:r>
            <w:r w:rsidR="00E83184">
              <w:rPr>
                <w:sz w:val="28"/>
                <w:szCs w:val="28"/>
                <w:highlight w:val="green"/>
              </w:rPr>
              <w:t>27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853,5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E83184"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487,9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FA6959">
              <w:rPr>
                <w:sz w:val="28"/>
                <w:highlight w:val="green"/>
              </w:rPr>
              <w:t>2 2</w:t>
            </w:r>
            <w:r w:rsidR="00E708D7">
              <w:rPr>
                <w:sz w:val="28"/>
                <w:highlight w:val="green"/>
              </w:rPr>
              <w:t>64</w:t>
            </w:r>
            <w:r w:rsidR="004E77B0">
              <w:rPr>
                <w:sz w:val="28"/>
                <w:highlight w:val="green"/>
              </w:rPr>
              <w:t> </w:t>
            </w:r>
            <w:r w:rsidR="008A0B8E">
              <w:rPr>
                <w:sz w:val="28"/>
                <w:highlight w:val="green"/>
              </w:rPr>
              <w:t>424,7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 w:rsidR="00E708D7">
              <w:rPr>
                <w:sz w:val="28"/>
                <w:szCs w:val="28"/>
                <w:highlight w:val="green"/>
              </w:rPr>
              <w:t>65</w:t>
            </w:r>
            <w:r w:rsidR="00D4046C" w:rsidRPr="00176A3C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324</w:t>
            </w:r>
            <w:r w:rsidR="00D4046C" w:rsidRPr="00176A3C">
              <w:rPr>
                <w:sz w:val="28"/>
                <w:szCs w:val="28"/>
                <w:highlight w:val="green"/>
              </w:rPr>
              <w:t>,</w:t>
            </w:r>
            <w:r w:rsidR="008A0B8E">
              <w:rPr>
                <w:sz w:val="28"/>
                <w:szCs w:val="28"/>
                <w:highlight w:val="green"/>
              </w:rPr>
              <w:t>3</w:t>
            </w:r>
            <w:r w:rsidR="00D4046C" w:rsidRPr="00176A3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39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493,4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 w:rsidR="00176A3C" w:rsidRPr="004E2DC7">
              <w:rPr>
                <w:sz w:val="28"/>
                <w:szCs w:val="28"/>
                <w:highlight w:val="green"/>
              </w:rPr>
              <w:t>39</w:t>
            </w:r>
            <w:r w:rsidR="004E2DC7" w:rsidRPr="004E2DC7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</w:t>
            </w:r>
            <w:r w:rsidR="00E83184">
              <w:rPr>
                <w:sz w:val="28"/>
                <w:highlight w:val="green"/>
              </w:rPr>
              <w:t>15</w:t>
            </w:r>
            <w:r w:rsidR="0076572A">
              <w:rPr>
                <w:sz w:val="28"/>
                <w:highlight w:val="green"/>
              </w:rPr>
              <w:t xml:space="preserve"> 53</w:t>
            </w:r>
            <w:r w:rsidR="00E83184">
              <w:rPr>
                <w:sz w:val="28"/>
                <w:highlight w:val="green"/>
              </w:rPr>
              <w:t>7</w:t>
            </w:r>
            <w:r w:rsidR="0076572A">
              <w:rPr>
                <w:sz w:val="28"/>
                <w:highlight w:val="green"/>
              </w:rPr>
              <w:t>,9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Pr="00E83184">
              <w:rPr>
                <w:sz w:val="28"/>
                <w:szCs w:val="28"/>
              </w:rPr>
              <w:t>.</w:t>
            </w:r>
          </w:p>
          <w:p w:rsidR="00D4046C" w:rsidRPr="00AC4A16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– </w:t>
            </w:r>
            <w:r w:rsidR="00CF2D15">
              <w:rPr>
                <w:sz w:val="28"/>
                <w:szCs w:val="28"/>
              </w:rPr>
              <w:t>22 885,00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23 064,3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CF2D15" w:rsidRDefault="00CF2D15" w:rsidP="00CF2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23 064,3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CF2D15" w:rsidRPr="00AC4A16" w:rsidRDefault="00CF2D15" w:rsidP="00D4046C">
            <w:pPr>
              <w:jc w:val="both"/>
              <w:rPr>
                <w:sz w:val="28"/>
                <w:szCs w:val="28"/>
              </w:rPr>
            </w:pP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</w:t>
      </w:r>
      <w:proofErr w:type="gramStart"/>
      <w:r w:rsidRPr="00AC4A16">
        <w:rPr>
          <w:sz w:val="28"/>
          <w:szCs w:val="28"/>
        </w:rPr>
        <w:t>г</w:t>
      </w:r>
      <w:proofErr w:type="gramEnd"/>
      <w:r w:rsidRPr="00AC4A16">
        <w:rPr>
          <w:sz w:val="28"/>
          <w:szCs w:val="28"/>
        </w:rPr>
        <w:t>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</w:t>
      </w:r>
      <w:proofErr w:type="gramStart"/>
      <w:r w:rsidRPr="00AC4A16">
        <w:rPr>
          <w:sz w:val="28"/>
          <w:szCs w:val="28"/>
        </w:rPr>
        <w:t>г</w:t>
      </w:r>
      <w:proofErr w:type="gramEnd"/>
      <w:r w:rsidRPr="00AC4A16">
        <w:rPr>
          <w:sz w:val="28"/>
          <w:szCs w:val="28"/>
        </w:rPr>
        <w:t xml:space="preserve">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</w:t>
      </w:r>
      <w:r w:rsidRPr="00AC4A16">
        <w:rPr>
          <w:snapToGrid w:val="0"/>
          <w:sz w:val="28"/>
          <w:szCs w:val="28"/>
        </w:rPr>
        <w:lastRenderedPageBreak/>
        <w:t>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</w:t>
      </w:r>
      <w:r w:rsidR="00E06325" w:rsidRPr="00AC4A16">
        <w:rPr>
          <w:sz w:val="28"/>
          <w:szCs w:val="28"/>
        </w:rPr>
        <w:lastRenderedPageBreak/>
        <w:t>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</w:t>
      </w:r>
      <w:proofErr w:type="spellStart"/>
      <w:r w:rsidR="00E06325" w:rsidRPr="00AC4A16">
        <w:rPr>
          <w:sz w:val="28"/>
          <w:szCs w:val="28"/>
        </w:rPr>
        <w:t>города</w:t>
      </w:r>
      <w:r w:rsidR="00850922" w:rsidRPr="00AC4A16">
        <w:rPr>
          <w:sz w:val="28"/>
          <w:szCs w:val="28"/>
        </w:rPr>
        <w:t>в</w:t>
      </w:r>
      <w:proofErr w:type="spellEnd"/>
      <w:r w:rsidR="00850922" w:rsidRPr="00AC4A16">
        <w:rPr>
          <w:sz w:val="28"/>
          <w:szCs w:val="28"/>
        </w:rPr>
        <w:t xml:space="preserve">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др</w:t>
      </w:r>
      <w:proofErr w:type="gramStart"/>
      <w:r w:rsidR="00E06325" w:rsidRPr="00AC4A16">
        <w:rPr>
          <w:sz w:val="28"/>
          <w:szCs w:val="28"/>
        </w:rPr>
        <w:t>.Д</w:t>
      </w:r>
      <w:proofErr w:type="gramEnd"/>
      <w:r w:rsidR="00E06325" w:rsidRPr="00AC4A16">
        <w:rPr>
          <w:sz w:val="28"/>
          <w:szCs w:val="28"/>
        </w:rPr>
        <w:t xml:space="preserve">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850922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</w:t>
      </w:r>
      <w:r w:rsidRPr="00AC4A16">
        <w:rPr>
          <w:sz w:val="28"/>
          <w:szCs w:val="28"/>
        </w:rPr>
        <w:lastRenderedPageBreak/>
        <w:t>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1. </w:t>
      </w:r>
      <w:proofErr w:type="spellStart"/>
      <w:r w:rsidRPr="00AC4A16">
        <w:rPr>
          <w:sz w:val="28"/>
          <w:szCs w:val="28"/>
        </w:rPr>
        <w:t>В</w:t>
      </w:r>
      <w:r w:rsidR="00850922" w:rsidRPr="00AC4A16">
        <w:rPr>
          <w:sz w:val="28"/>
          <w:szCs w:val="28"/>
        </w:rPr>
        <w:t>системе</w:t>
      </w:r>
      <w:proofErr w:type="spellEnd"/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850922" w:rsidRPr="00AC4A16">
        <w:rPr>
          <w:sz w:val="28"/>
          <w:szCs w:val="28"/>
        </w:rPr>
        <w:t>экономических 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</w:t>
      </w:r>
      <w:r w:rsidR="0047059C" w:rsidRPr="00AC4A16">
        <w:rPr>
          <w:bCs/>
          <w:sz w:val="28"/>
          <w:szCs w:val="28"/>
        </w:rPr>
        <w:lastRenderedPageBreak/>
        <w:t xml:space="preserve">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proofErr w:type="spellStart"/>
      <w:r w:rsidRPr="00AC4A16">
        <w:rPr>
          <w:sz w:val="28"/>
          <w:szCs w:val="28"/>
        </w:rPr>
        <w:t>квалификации</w:t>
      </w:r>
      <w:r w:rsidR="00850922" w:rsidRPr="00AC4A16">
        <w:rPr>
          <w:bCs/>
          <w:sz w:val="28"/>
          <w:szCs w:val="28"/>
        </w:rPr>
        <w:t>кадров</w:t>
      </w:r>
      <w:proofErr w:type="spellEnd"/>
      <w:r w:rsidR="00850922" w:rsidRPr="00AC4A16">
        <w:rPr>
          <w:bCs/>
          <w:sz w:val="28"/>
          <w:szCs w:val="28"/>
        </w:rPr>
        <w:t>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r w:rsidR="009A7578" w:rsidRPr="00AC4A16">
        <w:rPr>
          <w:bCs/>
          <w:sz w:val="28"/>
          <w:szCs w:val="28"/>
        </w:rPr>
        <w:t>безбарьерной</w:t>
      </w:r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spellStart"/>
      <w:proofErr w:type="gramStart"/>
      <w:r w:rsidR="0047059C" w:rsidRPr="00AC4A16">
        <w:rPr>
          <w:sz w:val="28"/>
          <w:szCs w:val="28"/>
        </w:rPr>
        <w:t>детей-сироти</w:t>
      </w:r>
      <w:proofErr w:type="spellEnd"/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</w:t>
      </w:r>
      <w:proofErr w:type="gramStart"/>
      <w:r w:rsidRPr="00850922">
        <w:rPr>
          <w:iCs/>
          <w:sz w:val="28"/>
          <w:szCs w:val="28"/>
        </w:rPr>
        <w:t>г</w:t>
      </w:r>
      <w:proofErr w:type="gramEnd"/>
      <w:r w:rsidRPr="00850922">
        <w:rPr>
          <w:iCs/>
          <w:sz w:val="28"/>
          <w:szCs w:val="28"/>
        </w:rPr>
        <w:t>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lastRenderedPageBreak/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lastRenderedPageBreak/>
        <w:t xml:space="preserve">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 xml:space="preserve">оборудования. </w:t>
      </w:r>
      <w:proofErr w:type="gramStart"/>
      <w:r w:rsidR="00850922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</w:t>
      </w:r>
      <w:r w:rsidR="00C248A9" w:rsidRPr="00AC4A16">
        <w:rPr>
          <w:bCs/>
          <w:sz w:val="28"/>
          <w:szCs w:val="28"/>
        </w:rPr>
        <w:lastRenderedPageBreak/>
        <w:t xml:space="preserve">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>С</w:t>
      </w:r>
      <w:proofErr w:type="gramEnd"/>
      <w:r w:rsidRPr="00850922">
        <w:rPr>
          <w:iCs/>
          <w:sz w:val="28"/>
          <w:szCs w:val="28"/>
        </w:rPr>
        <w:t xml:space="preserve"> – </w:t>
      </w:r>
      <w:proofErr w:type="gramStart"/>
      <w:r w:rsidRPr="00850922">
        <w:rPr>
          <w:iCs/>
          <w:sz w:val="28"/>
          <w:szCs w:val="28"/>
        </w:rPr>
        <w:t>доля</w:t>
      </w:r>
      <w:proofErr w:type="gramEnd"/>
      <w:r w:rsidRPr="00850922">
        <w:rPr>
          <w:iCs/>
          <w:sz w:val="28"/>
          <w:szCs w:val="28"/>
        </w:rPr>
        <w:t xml:space="preserve"> детей в возрасте от 5 до 18 лет, использующих сертификаты дополнительного образования;</w:t>
      </w:r>
    </w:p>
    <w:p w:rsidR="00305D30" w:rsidRPr="00850922" w:rsidRDefault="00A25E2D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A25E2D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администрации город</w:t>
      </w:r>
      <w:bookmarkStart w:id="0" w:name="_GoBack"/>
      <w:bookmarkEnd w:id="0"/>
      <w:r w:rsidRPr="00AC4A16">
        <w:rPr>
          <w:sz w:val="28"/>
          <w:szCs w:val="28"/>
        </w:rPr>
        <w:t xml:space="preserve">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76572A">
        <w:rPr>
          <w:sz w:val="28"/>
          <w:szCs w:val="28"/>
        </w:rPr>
        <w:t>Г.В.Кабацура</w:t>
      </w:r>
    </w:p>
    <w:sectPr w:rsidR="00153555" w:rsidRPr="002E5776" w:rsidSect="005D358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12F" w:rsidRDefault="00F3712F">
      <w:r>
        <w:separator/>
      </w:r>
    </w:p>
  </w:endnote>
  <w:endnote w:type="continuationSeparator" w:id="1">
    <w:p w:rsidR="00F3712F" w:rsidRDefault="00F3712F">
      <w:r>
        <w:continuationSeparator/>
      </w:r>
    </w:p>
  </w:endnote>
  <w:endnote w:type="continuationNotice" w:id="2">
    <w:p w:rsidR="00F3712F" w:rsidRDefault="00F3712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2F" w:rsidRDefault="00A25E2D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12F" w:rsidRDefault="00F3712F">
      <w:r>
        <w:separator/>
      </w:r>
    </w:p>
  </w:footnote>
  <w:footnote w:type="continuationSeparator" w:id="1">
    <w:p w:rsidR="00F3712F" w:rsidRDefault="00F3712F">
      <w:r>
        <w:continuationSeparator/>
      </w:r>
    </w:p>
  </w:footnote>
  <w:footnote w:type="continuationNotice" w:id="2">
    <w:p w:rsidR="00F3712F" w:rsidRDefault="00F3712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2F" w:rsidRDefault="00A25E2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12F" w:rsidRDefault="00A25E2D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A0B8E">
      <w:rPr>
        <w:rStyle w:val="aa"/>
        <w:noProof/>
      </w:rPr>
      <w:t>10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194AB-7F12-4D52-85DF-31C796C7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10</Pages>
  <Words>2621</Words>
  <Characters>19627</Characters>
  <Application>Microsoft Office Word</Application>
  <DocSecurity>0</DocSecurity>
  <Lines>163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Студеникина</cp:lastModifiedBy>
  <cp:revision>24</cp:revision>
  <cp:lastPrinted>2020-06-29T12:09:00Z</cp:lastPrinted>
  <dcterms:created xsi:type="dcterms:W3CDTF">2020-06-04T14:33:00Z</dcterms:created>
  <dcterms:modified xsi:type="dcterms:W3CDTF">2021-06-03T08:51:00Z</dcterms:modified>
</cp:coreProperties>
</file>